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32A6A1B7"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16957426"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7E95A4A0" w14:textId="77777777" w:rsidR="006C1B3A" w:rsidRDefault="00E053AB">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4DD991A0" w14:textId="70C4ACFE" w:rsidR="006C1B3A" w:rsidRDefault="006F2B26">
            <w:pPr>
              <w:widowControl w:val="0"/>
              <w:rPr>
                <w:rFonts w:asciiTheme="minorHAnsi" w:hAnsiTheme="minorHAnsi"/>
                <w:b/>
                <w:lang w:bidi="hr-HR"/>
              </w:rPr>
            </w:pPr>
            <w:proofErr w:type="spellStart"/>
            <w:r>
              <w:rPr>
                <w:rFonts w:asciiTheme="minorHAnsi" w:hAnsiTheme="minorHAnsi"/>
                <w:b/>
                <w:lang w:bidi="hr-HR"/>
              </w:rPr>
              <w:t>Ur</w:t>
            </w:r>
            <w:proofErr w:type="spellEnd"/>
            <w:r>
              <w:rPr>
                <w:rFonts w:asciiTheme="minorHAnsi" w:hAnsiTheme="minorHAnsi"/>
                <w:b/>
                <w:lang w:bidi="hr-HR"/>
              </w:rPr>
              <w:t>. Broj:4896/25</w:t>
            </w:r>
          </w:p>
          <w:p w14:paraId="2EB47893" w14:textId="77777777" w:rsidR="006C1B3A" w:rsidRDefault="00E053AB">
            <w:pPr>
              <w:widowControl w:val="0"/>
              <w:rPr>
                <w:rFonts w:asciiTheme="minorHAnsi" w:hAnsiTheme="minorHAnsi"/>
                <w:lang w:bidi="hr-HR"/>
              </w:rPr>
            </w:pPr>
            <w:r>
              <w:rPr>
                <w:b/>
              </w:rPr>
              <w:t>05.11.2025.</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C8263E3" w14:textId="77777777" w:rsidR="006C1B3A" w:rsidRDefault="00E053AB">
            <w:pPr>
              <w:widowControl w:val="0"/>
              <w:spacing w:after="120"/>
              <w:rPr>
                <w:rFonts w:asciiTheme="minorHAnsi" w:hAnsiTheme="minorHAnsi"/>
              </w:rPr>
            </w:pPr>
            <w:r>
              <w:rPr>
                <w:rFonts w:asciiTheme="minorHAnsi" w:hAnsiTheme="minorHAnsi"/>
              </w:rPr>
              <w:t>Gospodarski subjekti:</w:t>
            </w:r>
          </w:p>
          <w:p w14:paraId="113ED60E" w14:textId="442D92FF" w:rsidR="006C1B3A" w:rsidRDefault="006C1B3A">
            <w:pPr>
              <w:widowControl w:val="0"/>
              <w:rPr>
                <w:rFonts w:asciiTheme="minorHAnsi" w:hAnsiTheme="minorHAnsi"/>
                <w:b/>
                <w:lang w:bidi="hr-HR"/>
              </w:rPr>
            </w:pPr>
          </w:p>
        </w:tc>
      </w:tr>
      <w:tr w:rsidR="00B906D7" w14:paraId="5F7B3F11"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3D96C006"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5B517826" w14:textId="77777777" w:rsidR="006C1B3A" w:rsidRDefault="00E053AB">
            <w:pPr>
              <w:widowControl w:val="0"/>
              <w:jc w:val="center"/>
              <w:rPr>
                <w:rFonts w:asciiTheme="minorHAnsi" w:hAnsiTheme="minorHAnsi"/>
                <w:lang w:bidi="hr-HR"/>
              </w:rPr>
            </w:pPr>
            <w:r>
              <w:rPr>
                <w:rFonts w:asciiTheme="minorHAnsi" w:hAnsiTheme="minorHAnsi"/>
                <w:b/>
                <w:bCs/>
                <w:lang w:bidi="hr-HR"/>
              </w:rPr>
              <w:t xml:space="preserve">Broj: </w:t>
            </w:r>
            <w:r>
              <w:rPr>
                <w:b/>
              </w:rPr>
              <w:t>2025-X-T-RO-070-P</w:t>
            </w:r>
          </w:p>
        </w:tc>
      </w:tr>
      <w:tr w:rsidR="00B906D7" w14:paraId="309ABE69"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62F5348"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0E23C39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B878009"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5847B475" w14:textId="77777777" w:rsidR="00B906D7" w:rsidRDefault="00B906D7">
            <w:pPr>
              <w:widowControl w:val="0"/>
              <w:jc w:val="both"/>
              <w:rPr>
                <w:rFonts w:asciiTheme="minorHAnsi" w:hAnsiTheme="minorHAnsi"/>
                <w:lang w:bidi="hr-HR"/>
              </w:rPr>
            </w:pPr>
          </w:p>
          <w:p w14:paraId="51E2C884" w14:textId="77777777" w:rsidR="006C1B3A" w:rsidRDefault="00E053AB">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04334BE5" w14:textId="77777777" w:rsidR="006C1B3A" w:rsidRDefault="00E053AB">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medicinski namještaj</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EF33ECC" w14:textId="77777777" w:rsidR="006C1B3A" w:rsidRDefault="00E053AB">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2025-X-T-RO-070-P</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4BCF134" w14:textId="77777777" w:rsidR="006C1B3A" w:rsidRDefault="00E053AB">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33192000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F7E0A3E" w14:textId="77777777" w:rsidR="006C1B3A" w:rsidRDefault="00E053AB">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9.480,00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15BC8C3" w14:textId="77777777" w:rsidR="006C1B3A" w:rsidRDefault="00E053AB">
            <w:pPr>
              <w:widowControl w:val="0"/>
              <w:numPr>
                <w:ilvl w:val="0"/>
                <w:numId w:val="5"/>
              </w:numPr>
              <w:jc w:val="both"/>
              <w:rPr>
                <w:rFonts w:asciiTheme="minorHAnsi" w:hAnsiTheme="minorHAnsi"/>
              </w:rPr>
            </w:pPr>
            <w:r>
              <w:rPr>
                <w:rFonts w:asciiTheme="minorHAnsi" w:hAnsiTheme="minorHAnsi"/>
                <w:lang w:bidi="hr-HR"/>
              </w:rPr>
              <w:t xml:space="preserve">Vrsta postupka: </w:t>
            </w:r>
            <w:r>
              <w:rPr>
                <w:b/>
              </w:rPr>
              <w:t>Prikupljanje ponuda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931AB52" w14:textId="77777777" w:rsidR="006C1B3A" w:rsidRDefault="00E053AB">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1863165" w14:textId="77777777" w:rsidR="006C1B3A" w:rsidRDefault="00E053AB">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11.850,00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2421C9E8" w14:textId="77777777" w:rsidR="00B906D7" w:rsidRDefault="00B906D7">
            <w:pPr>
              <w:widowControl w:val="0"/>
              <w:jc w:val="both"/>
              <w:rPr>
                <w:rFonts w:asciiTheme="minorHAnsi" w:hAnsiTheme="minorHAnsi"/>
                <w:lang w:bidi="hr-HR"/>
              </w:rPr>
            </w:pPr>
          </w:p>
          <w:p w14:paraId="3F4B976F" w14:textId="3297C070" w:rsidR="006C1B3A" w:rsidRDefault="00E053AB">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6F2B26" w:rsidRPr="006F2B26">
              <w:rPr>
                <w:rFonts w:asciiTheme="minorHAnsi" w:hAnsiTheme="minorHAnsi"/>
                <w:lang w:bidi="hr-HR"/>
              </w:rPr>
              <w:t>https://dom-medvescak.hr/javna-nabava/</w:t>
            </w:r>
          </w:p>
          <w:p w14:paraId="51FD421C" w14:textId="77777777" w:rsidR="00B906D7" w:rsidRDefault="00B906D7">
            <w:pPr>
              <w:widowControl w:val="0"/>
              <w:jc w:val="both"/>
              <w:rPr>
                <w:rFonts w:asciiTheme="minorHAnsi" w:hAnsiTheme="minorHAnsi"/>
                <w:lang w:bidi="hr-HR"/>
              </w:rPr>
            </w:pPr>
          </w:p>
          <w:p w14:paraId="7BDDFC44"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0D12B672"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3431"/>
        <w:gridCol w:w="6197"/>
      </w:tblGrid>
      <w:tr w:rsidR="00B906D7" w14:paraId="41350E2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21EDF74D"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3835EF8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6DBFF2"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2C697A76" w14:textId="77777777" w:rsidR="006C1B3A" w:rsidRDefault="00E053AB">
            <w:pPr>
              <w:widowControl w:val="0"/>
              <w:jc w:val="both"/>
              <w:rPr>
                <w:rFonts w:asciiTheme="minorHAnsi" w:hAnsiTheme="minorHAnsi"/>
                <w:b/>
                <w:lang w:bidi="hr-HR"/>
              </w:rPr>
            </w:pPr>
            <w:r>
              <w:rPr>
                <w:b/>
              </w:rPr>
              <w:t>medicinski namještaj</w:t>
            </w:r>
          </w:p>
          <w:p w14:paraId="658BC8A6" w14:textId="77777777" w:rsidR="00B906D7" w:rsidRDefault="00B906D7">
            <w:pPr>
              <w:widowControl w:val="0"/>
              <w:jc w:val="both"/>
              <w:rPr>
                <w:rFonts w:asciiTheme="minorHAnsi" w:hAnsiTheme="minorHAnsi"/>
                <w:lang w:bidi="hr-HR"/>
              </w:rPr>
            </w:pPr>
          </w:p>
          <w:p w14:paraId="3E9D6298"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36DC3657"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391D6845"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Tehničkim specifikacijama iz dijela III. ovog Poziva (ako je opis predmeta nabave naveden u priloženim tehničkim specifikacijama).</w:t>
            </w:r>
          </w:p>
        </w:tc>
      </w:tr>
      <w:tr w:rsidR="00B906D7" w14:paraId="35AE8EB3"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08335E1F"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45DF187B" w14:textId="77777777" w:rsidTr="006F2B26">
        <w:trPr>
          <w:cantSplit/>
          <w:trHeight w:val="20"/>
          <w:jc w:val="center"/>
        </w:trPr>
        <w:tc>
          <w:tcPr>
            <w:tcW w:w="1782" w:type="pct"/>
            <w:tcBorders>
              <w:top w:val="single" w:sz="4" w:space="0" w:color="000000"/>
              <w:left w:val="single" w:sz="4" w:space="0" w:color="000000"/>
              <w:bottom w:val="single" w:sz="4" w:space="0" w:color="000000"/>
            </w:tcBorders>
            <w:shd w:val="clear" w:color="auto" w:fill="FFFFFF"/>
            <w:vAlign w:val="bottom"/>
          </w:tcPr>
          <w:p w14:paraId="04A52ECA"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3218" w:type="pct"/>
            <w:tcBorders>
              <w:top w:val="single" w:sz="4" w:space="0" w:color="000000"/>
              <w:left w:val="single" w:sz="4" w:space="0" w:color="000000"/>
              <w:bottom w:val="single" w:sz="4" w:space="0" w:color="000000"/>
              <w:right w:val="single" w:sz="4" w:space="0" w:color="000000"/>
            </w:tcBorders>
            <w:shd w:val="clear" w:color="auto" w:fill="FFFFFF"/>
          </w:tcPr>
          <w:p w14:paraId="5000B2FB" w14:textId="77777777" w:rsidR="00B906D7" w:rsidRDefault="00B906D7">
            <w:pPr>
              <w:widowControl w:val="0"/>
              <w:jc w:val="both"/>
              <w:rPr>
                <w:rFonts w:asciiTheme="minorHAnsi" w:hAnsiTheme="minorHAnsi"/>
                <w:lang w:bidi="hr-HR"/>
              </w:rPr>
            </w:pPr>
          </w:p>
        </w:tc>
      </w:tr>
      <w:tr w:rsidR="00B906D7" w14:paraId="0D4BD99B" w14:textId="77777777" w:rsidTr="006F2B26">
        <w:trPr>
          <w:cantSplit/>
          <w:trHeight w:val="20"/>
          <w:jc w:val="center"/>
        </w:trPr>
        <w:tc>
          <w:tcPr>
            <w:tcW w:w="1782" w:type="pct"/>
            <w:tcBorders>
              <w:top w:val="single" w:sz="4" w:space="0" w:color="000000"/>
              <w:left w:val="single" w:sz="4" w:space="0" w:color="000000"/>
              <w:bottom w:val="single" w:sz="4" w:space="0" w:color="000000"/>
            </w:tcBorders>
            <w:shd w:val="clear" w:color="auto" w:fill="FFFFFF"/>
            <w:vAlign w:val="center"/>
          </w:tcPr>
          <w:p w14:paraId="1ABB0399"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3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85C10D" w14:textId="77777777" w:rsidR="006C1B3A" w:rsidRDefault="00E053AB">
            <w:pPr>
              <w:widowControl w:val="0"/>
              <w:jc w:val="both"/>
              <w:rPr>
                <w:rFonts w:asciiTheme="minorHAnsi" w:hAnsiTheme="minorHAnsi"/>
                <w:b/>
                <w:lang w:bidi="hr-HR"/>
              </w:rPr>
            </w:pPr>
            <w:r>
              <w:rPr>
                <w:b/>
              </w:rPr>
              <w:t>narudžbenica</w:t>
            </w:r>
          </w:p>
        </w:tc>
      </w:tr>
      <w:tr w:rsidR="00B906D7" w14:paraId="6A529039" w14:textId="77777777" w:rsidTr="006F2B26">
        <w:trPr>
          <w:cantSplit/>
          <w:trHeight w:val="20"/>
          <w:jc w:val="center"/>
        </w:trPr>
        <w:tc>
          <w:tcPr>
            <w:tcW w:w="1782" w:type="pct"/>
            <w:tcBorders>
              <w:top w:val="single" w:sz="4" w:space="0" w:color="000000"/>
              <w:left w:val="single" w:sz="4" w:space="0" w:color="000000"/>
              <w:bottom w:val="single" w:sz="4" w:space="0" w:color="000000"/>
            </w:tcBorders>
            <w:shd w:val="clear" w:color="auto" w:fill="FFFFFF"/>
            <w:vAlign w:val="center"/>
          </w:tcPr>
          <w:p w14:paraId="31E7C68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3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B8243A" w14:textId="77777777" w:rsidR="006C1B3A" w:rsidRDefault="00E053AB">
            <w:pPr>
              <w:widowControl w:val="0"/>
              <w:jc w:val="both"/>
              <w:rPr>
                <w:rFonts w:asciiTheme="minorHAnsi" w:hAnsiTheme="minorHAnsi"/>
                <w:b/>
                <w:lang w:bidi="hr-HR"/>
              </w:rPr>
            </w:pPr>
            <w:r>
              <w:rPr>
                <w:b/>
              </w:rPr>
              <w:t>14.11.2025. - 24.11.2025., jednokratno</w:t>
            </w:r>
          </w:p>
        </w:tc>
      </w:tr>
      <w:tr w:rsidR="00B906D7" w14:paraId="558DF67C" w14:textId="77777777" w:rsidTr="006F2B26">
        <w:trPr>
          <w:cantSplit/>
          <w:trHeight w:val="20"/>
          <w:jc w:val="center"/>
        </w:trPr>
        <w:tc>
          <w:tcPr>
            <w:tcW w:w="1782" w:type="pct"/>
            <w:tcBorders>
              <w:top w:val="single" w:sz="4" w:space="0" w:color="000000"/>
              <w:left w:val="single" w:sz="4" w:space="0" w:color="000000"/>
              <w:bottom w:val="single" w:sz="4" w:space="0" w:color="000000"/>
            </w:tcBorders>
            <w:shd w:val="clear" w:color="auto" w:fill="FFFFFF"/>
            <w:vAlign w:val="center"/>
          </w:tcPr>
          <w:p w14:paraId="7C73BBA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3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F3443E" w14:textId="77777777" w:rsidR="006C1B3A" w:rsidRDefault="00E053AB">
            <w:pPr>
              <w:widowControl w:val="0"/>
              <w:jc w:val="both"/>
              <w:rPr>
                <w:rFonts w:asciiTheme="minorHAnsi" w:hAnsiTheme="minorHAnsi"/>
                <w:b/>
                <w:lang w:bidi="hr-HR"/>
              </w:rPr>
            </w:pPr>
            <w:r>
              <w:rPr>
                <w:b/>
              </w:rPr>
              <w:t>30 dana</w:t>
            </w:r>
          </w:p>
        </w:tc>
      </w:tr>
      <w:tr w:rsidR="00B906D7" w14:paraId="1FBE78D2" w14:textId="77777777" w:rsidTr="006F2B26">
        <w:trPr>
          <w:cantSplit/>
          <w:trHeight w:val="20"/>
          <w:jc w:val="center"/>
        </w:trPr>
        <w:tc>
          <w:tcPr>
            <w:tcW w:w="1782" w:type="pct"/>
            <w:tcBorders>
              <w:top w:val="single" w:sz="4" w:space="0" w:color="000000"/>
              <w:left w:val="single" w:sz="4" w:space="0" w:color="000000"/>
              <w:bottom w:val="single" w:sz="4" w:space="0" w:color="000000"/>
            </w:tcBorders>
            <w:shd w:val="clear" w:color="auto" w:fill="FFFFFF"/>
            <w:vAlign w:val="center"/>
          </w:tcPr>
          <w:p w14:paraId="4235C58B"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3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E83ED0" w14:textId="77777777" w:rsidR="006C1B3A" w:rsidRDefault="00E053AB">
            <w:pPr>
              <w:widowControl w:val="0"/>
              <w:jc w:val="both"/>
              <w:rPr>
                <w:rFonts w:asciiTheme="minorHAnsi" w:hAnsiTheme="minorHAnsi"/>
                <w:b/>
                <w:lang w:bidi="hr-HR"/>
              </w:rPr>
            </w:pPr>
            <w:r>
              <w:rPr>
                <w:b/>
              </w:rPr>
              <w:t>30 dana</w:t>
            </w:r>
          </w:p>
        </w:tc>
      </w:tr>
      <w:tr w:rsidR="00B906D7" w14:paraId="59C5BA53" w14:textId="77777777" w:rsidTr="006F2B26">
        <w:trPr>
          <w:cantSplit/>
          <w:trHeight w:val="20"/>
          <w:jc w:val="center"/>
        </w:trPr>
        <w:tc>
          <w:tcPr>
            <w:tcW w:w="1782" w:type="pct"/>
            <w:tcBorders>
              <w:top w:val="single" w:sz="4" w:space="0" w:color="000000"/>
              <w:left w:val="single" w:sz="4" w:space="0" w:color="000000"/>
              <w:bottom w:val="single" w:sz="4" w:space="0" w:color="000000"/>
            </w:tcBorders>
            <w:shd w:val="clear" w:color="auto" w:fill="FFFFFF"/>
            <w:vAlign w:val="center"/>
          </w:tcPr>
          <w:p w14:paraId="692DE02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3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FD76DD" w14:textId="77777777" w:rsidR="006C1B3A" w:rsidRDefault="00E053AB">
            <w:pPr>
              <w:widowControl w:val="0"/>
              <w:jc w:val="both"/>
              <w:rPr>
                <w:rFonts w:asciiTheme="minorHAnsi" w:hAnsiTheme="minorHAnsi"/>
                <w:b/>
                <w:lang w:bidi="hr-HR"/>
              </w:rPr>
            </w:pPr>
            <w:r>
              <w:rPr>
                <w:b/>
              </w:rPr>
              <w:t>Zagreb, Trg D. Iblera 8</w:t>
            </w:r>
          </w:p>
        </w:tc>
      </w:tr>
      <w:tr w:rsidR="00B906D7" w14:paraId="5B1B2EFF" w14:textId="77777777" w:rsidTr="006F2B26">
        <w:trPr>
          <w:cantSplit/>
          <w:trHeight w:val="20"/>
          <w:jc w:val="center"/>
        </w:trPr>
        <w:tc>
          <w:tcPr>
            <w:tcW w:w="1782" w:type="pct"/>
            <w:tcBorders>
              <w:top w:val="single" w:sz="4" w:space="0" w:color="000000"/>
              <w:left w:val="single" w:sz="4" w:space="0" w:color="000000"/>
              <w:bottom w:val="single" w:sz="4" w:space="0" w:color="000000"/>
            </w:tcBorders>
            <w:shd w:val="clear" w:color="auto" w:fill="FFFFFF"/>
            <w:vAlign w:val="center"/>
          </w:tcPr>
          <w:p w14:paraId="1189EB4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3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13D68F" w14:textId="45865292" w:rsidR="006C1B3A" w:rsidRDefault="00E053AB">
            <w:pPr>
              <w:widowControl w:val="0"/>
              <w:jc w:val="both"/>
              <w:rPr>
                <w:rFonts w:asciiTheme="minorHAnsi" w:hAnsiTheme="minorHAnsi"/>
                <w:b/>
                <w:lang w:bidi="hr-HR"/>
              </w:rPr>
            </w:pPr>
            <w:r>
              <w:rPr>
                <w:b/>
              </w:rPr>
              <w:t>virmanom</w:t>
            </w:r>
            <w:r>
              <w:rPr>
                <w:rFonts w:asciiTheme="minorHAnsi" w:hAnsiTheme="minorHAnsi"/>
                <w:b/>
                <w:lang w:bidi="hr-HR"/>
              </w:rPr>
              <w:t xml:space="preserve">, </w:t>
            </w:r>
            <w:r w:rsidR="006F2B26">
              <w:rPr>
                <w:rFonts w:asciiTheme="minorHAnsi" w:hAnsiTheme="minorHAnsi"/>
                <w:b/>
                <w:lang w:bidi="hr-HR"/>
              </w:rPr>
              <w:t>30 dana po primitku e-računa</w:t>
            </w:r>
          </w:p>
        </w:tc>
      </w:tr>
      <w:tr w:rsidR="00B906D7" w14:paraId="393FB800" w14:textId="77777777" w:rsidTr="006F2B26">
        <w:trPr>
          <w:cantSplit/>
          <w:trHeight w:val="20"/>
          <w:jc w:val="center"/>
        </w:trPr>
        <w:tc>
          <w:tcPr>
            <w:tcW w:w="1782" w:type="pct"/>
            <w:tcBorders>
              <w:top w:val="single" w:sz="4" w:space="0" w:color="000000"/>
              <w:left w:val="single" w:sz="4" w:space="0" w:color="000000"/>
              <w:bottom w:val="single" w:sz="4" w:space="0" w:color="000000"/>
            </w:tcBorders>
            <w:shd w:val="clear" w:color="auto" w:fill="FFFFFF"/>
          </w:tcPr>
          <w:p w14:paraId="3CE6E100"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00529A37"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7BF2E1F4"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2FD353C4"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3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414D4F" w14:textId="77298C8E" w:rsidR="006C1B3A" w:rsidRDefault="00E053AB">
            <w:pPr>
              <w:widowControl w:val="0"/>
              <w:jc w:val="both"/>
              <w:rPr>
                <w:rFonts w:asciiTheme="minorHAnsi" w:hAnsiTheme="minorHAnsi"/>
                <w:b/>
                <w:lang w:bidi="hr-HR"/>
              </w:rPr>
            </w:pPr>
            <w:r>
              <w:rPr>
                <w:b/>
              </w:rPr>
              <w:t>nepromjenjiva,</w:t>
            </w:r>
            <w:r w:rsidR="006F2B26">
              <w:rPr>
                <w:b/>
              </w:rPr>
              <w:t xml:space="preserve"> </w:t>
            </w:r>
            <w:r>
              <w:rPr>
                <w:b/>
              </w:rPr>
              <w:t>procijenjena vrijednost nabave</w:t>
            </w:r>
            <w:r w:rsidR="006F2B26">
              <w:rPr>
                <w:b/>
              </w:rPr>
              <w:t xml:space="preserve"> </w:t>
            </w:r>
            <w:r>
              <w:rPr>
                <w:b/>
              </w:rPr>
              <w:t xml:space="preserve">9.480,00 € bez </w:t>
            </w:r>
            <w:proofErr w:type="spellStart"/>
            <w:r>
              <w:rPr>
                <w:b/>
              </w:rPr>
              <w:t>Pdv-a</w:t>
            </w:r>
            <w:proofErr w:type="spellEnd"/>
          </w:p>
        </w:tc>
      </w:tr>
      <w:tr w:rsidR="00B906D7" w14:paraId="60069C94" w14:textId="77777777" w:rsidTr="006F2B26">
        <w:trPr>
          <w:cantSplit/>
          <w:trHeight w:val="20"/>
          <w:jc w:val="center"/>
        </w:trPr>
        <w:tc>
          <w:tcPr>
            <w:tcW w:w="1782" w:type="pct"/>
            <w:tcBorders>
              <w:top w:val="single" w:sz="4" w:space="0" w:color="000000"/>
              <w:left w:val="single" w:sz="4" w:space="0" w:color="000000"/>
              <w:bottom w:val="single" w:sz="4" w:space="0" w:color="000000"/>
            </w:tcBorders>
            <w:shd w:val="clear" w:color="auto" w:fill="FFFFFF"/>
            <w:vAlign w:val="center"/>
          </w:tcPr>
          <w:p w14:paraId="5C82ABD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lastRenderedPageBreak/>
              <w:t>Kriterij za odabir ponuda</w:t>
            </w:r>
          </w:p>
          <w:p w14:paraId="1C076120"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3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25D26D" w14:textId="77777777" w:rsidR="006C1B3A" w:rsidRPr="006F2B26" w:rsidRDefault="00E053AB">
            <w:pPr>
              <w:widowControl w:val="0"/>
              <w:jc w:val="both"/>
              <w:rPr>
                <w:rFonts w:asciiTheme="minorHAnsi" w:hAnsiTheme="minorHAnsi"/>
                <w:b/>
                <w:sz w:val="16"/>
                <w:szCs w:val="16"/>
                <w:lang w:bidi="hr-HR"/>
              </w:rPr>
            </w:pPr>
            <w:r w:rsidRPr="006F2B26">
              <w:rPr>
                <w:b/>
                <w:sz w:val="16"/>
                <w:szCs w:val="16"/>
              </w:rPr>
              <w:t>KRITERIJ ZA ODABIR PONUDE</w:t>
            </w:r>
            <w:r w:rsidRPr="006F2B26">
              <w:rPr>
                <w:b/>
                <w:sz w:val="16"/>
                <w:szCs w:val="16"/>
              </w:rPr>
              <w:br/>
              <w:t>Kriteriji koji se koriste za odabir ekonomski najpovoljnije ponude su:</w:t>
            </w:r>
            <w:r w:rsidRPr="006F2B26">
              <w:rPr>
                <w:b/>
                <w:sz w:val="16"/>
                <w:szCs w:val="16"/>
              </w:rPr>
              <w:br/>
              <w:t>R.BR. KRITERIJ MAKSIMALNI BROJ BODOVA</w:t>
            </w:r>
            <w:r w:rsidRPr="006F2B26">
              <w:rPr>
                <w:b/>
                <w:sz w:val="16"/>
                <w:szCs w:val="16"/>
              </w:rPr>
              <w:br/>
              <w:t>1. Cijena ponude u EUR bez PDV-a                 90</w:t>
            </w:r>
            <w:r w:rsidRPr="006F2B26">
              <w:rPr>
                <w:b/>
                <w:sz w:val="16"/>
                <w:szCs w:val="16"/>
              </w:rPr>
              <w:br/>
            </w:r>
            <w:r w:rsidRPr="006F2B26">
              <w:rPr>
                <w:b/>
                <w:sz w:val="16"/>
                <w:szCs w:val="16"/>
              </w:rPr>
              <w:t>2. Jamstveni rok za otklanjanje nedostataka 10</w:t>
            </w:r>
            <w:r w:rsidRPr="006F2B26">
              <w:rPr>
                <w:b/>
                <w:sz w:val="16"/>
                <w:szCs w:val="16"/>
              </w:rPr>
              <w:br/>
              <w:t>Maksimalni broj bodova      100</w:t>
            </w:r>
            <w:r w:rsidRPr="006F2B26">
              <w:rPr>
                <w:b/>
                <w:sz w:val="16"/>
                <w:szCs w:val="16"/>
              </w:rPr>
              <w:br/>
              <w:t>U skladu s kriterijima i načinom bodovanja, utvrdit će se ukupan broj bodova svake valjane ponude te će se izvršiti rangiranje valjanih ponuda prema kriteriju za odabir ponude. Naručitelj će odabrati ponudu koja ostvari najveći broj bodova. Ako dvije ili više ponuda ostvare jednak broj bodova sukladno kriteriju za odabir ponude, bit će odabrana ponuda koja je zaprimljena ranije.</w:t>
            </w:r>
            <w:r w:rsidRPr="006F2B26">
              <w:rPr>
                <w:b/>
                <w:sz w:val="16"/>
                <w:szCs w:val="16"/>
              </w:rPr>
              <w:br/>
              <w:t>1. Cijena ponude u EUR bez PDV-a</w:t>
            </w:r>
            <w:r w:rsidRPr="006F2B26">
              <w:rPr>
                <w:b/>
                <w:sz w:val="16"/>
                <w:szCs w:val="16"/>
              </w:rPr>
              <w:br/>
              <w:t>Naručitelj kao prv</w:t>
            </w:r>
            <w:r w:rsidRPr="006F2B26">
              <w:rPr>
                <w:b/>
                <w:sz w:val="16"/>
                <w:szCs w:val="16"/>
              </w:rPr>
              <w:t xml:space="preserve">i (financijski) kriterij određuje cijenu ponude. </w:t>
            </w:r>
            <w:r w:rsidRPr="006F2B26">
              <w:rPr>
                <w:b/>
                <w:sz w:val="16"/>
                <w:szCs w:val="16"/>
              </w:rPr>
              <w:br/>
              <w:t>Maksimalni broj bodova koji gospodarski subjekt može ostvariti prema ovom kriteriju je 90 bodova. Valjana ponuda s najnižom cijenom dobit će maksimalan broj bodova. Bodovna vrijednost ostalih valjanih ponuda računa se prema sljedećoj formuli:</w:t>
            </w:r>
            <w:r w:rsidRPr="006F2B26">
              <w:rPr>
                <w:b/>
                <w:sz w:val="16"/>
                <w:szCs w:val="16"/>
              </w:rPr>
              <w:br/>
              <w:t>P = NC/CP * 90</w:t>
            </w:r>
            <w:r w:rsidRPr="006F2B26">
              <w:rPr>
                <w:b/>
                <w:sz w:val="16"/>
                <w:szCs w:val="16"/>
              </w:rPr>
              <w:br/>
              <w:t>P = broj bodova ocjenjivane ponude (zaokružen na dva decimalna mjesta)</w:t>
            </w:r>
            <w:r w:rsidRPr="006F2B26">
              <w:rPr>
                <w:b/>
                <w:sz w:val="16"/>
                <w:szCs w:val="16"/>
              </w:rPr>
              <w:br/>
              <w:t>NC = najniža cijena valjane ponude</w:t>
            </w:r>
            <w:r w:rsidRPr="006F2B26">
              <w:rPr>
                <w:b/>
                <w:sz w:val="16"/>
                <w:szCs w:val="16"/>
              </w:rPr>
              <w:br/>
              <w:t>CP = cijena ocjenjivane ponude</w:t>
            </w:r>
            <w:r w:rsidRPr="006F2B26">
              <w:rPr>
                <w:b/>
                <w:sz w:val="16"/>
                <w:szCs w:val="16"/>
              </w:rPr>
              <w:br/>
              <w:t>2. Jamstveni rok za otklanjanje nedostataka</w:t>
            </w:r>
            <w:r w:rsidRPr="006F2B26">
              <w:rPr>
                <w:b/>
                <w:sz w:val="16"/>
                <w:szCs w:val="16"/>
              </w:rPr>
              <w:br/>
              <w:t>Naručitelj kao drugi (n</w:t>
            </w:r>
            <w:r w:rsidRPr="006F2B26">
              <w:rPr>
                <w:b/>
                <w:sz w:val="16"/>
                <w:szCs w:val="16"/>
              </w:rPr>
              <w:t>efinancijski) kriterij određuje trajanje jamstvenog roka, pri čemu se sukladno odredbama niže boduje jamstveni rok koji je duži od minimalno traženog.</w:t>
            </w:r>
            <w:r w:rsidRPr="006F2B26">
              <w:rPr>
                <w:b/>
                <w:sz w:val="16"/>
                <w:szCs w:val="16"/>
              </w:rPr>
              <w:br/>
              <w:t>Maksimalan broj bodova koji ponuditelj može ostvariti u okviru ovog kriterija je 10 bodova.</w:t>
            </w:r>
            <w:r w:rsidRPr="006F2B26">
              <w:rPr>
                <w:b/>
                <w:sz w:val="16"/>
                <w:szCs w:val="16"/>
              </w:rPr>
              <w:br/>
              <w:t>Minimalno trajanje jamstvenog roka je 36 mjeseci od primopredaje robe sukladno odredbama ugovora o nabavi te se za nuđenje minimalnog jamstvenog roka ostvaruje 0 bodova (ne primjenjuje se formula za izračun). Ponuditelji nisu ovlašteni ponuditi jamstveni rok u trajanju</w:t>
            </w:r>
            <w:r w:rsidRPr="006F2B26">
              <w:rPr>
                <w:b/>
                <w:sz w:val="16"/>
                <w:szCs w:val="16"/>
              </w:rPr>
              <w:t xml:space="preserve"> kraćem od 36 mjeseci te će u navedenom slučaju njihova ponuda biti odbijena. Najduže trajanje jamstvenog roka je 60 mjeseci koje će se uzimati u obzir za potrebe dodjele bodova. Ako ponuditelj ponudi duži rok od 60 mjeseci smatrat će se da je ponudio jamstveni rok u trajanju od 60 mjeseci.</w:t>
            </w:r>
            <w:r w:rsidRPr="006F2B26">
              <w:rPr>
                <w:b/>
                <w:sz w:val="16"/>
                <w:szCs w:val="16"/>
              </w:rPr>
              <w:br/>
              <w:t xml:space="preserve">Ponuditelj čiji je ponuđeni jamstveni rok u prihvatljivoj ponudi najdulji ostvarit će maksimalan broj bodova. </w:t>
            </w:r>
            <w:r w:rsidRPr="006F2B26">
              <w:rPr>
                <w:b/>
                <w:sz w:val="16"/>
                <w:szCs w:val="16"/>
              </w:rPr>
              <w:br/>
              <w:t>Bodovna vrijednost ponuda drugih ponuditelja će se određivati korištenjem sljedeće formule:</w:t>
            </w:r>
            <w:r w:rsidRPr="006F2B26">
              <w:rPr>
                <w:b/>
                <w:sz w:val="16"/>
                <w:szCs w:val="16"/>
              </w:rPr>
              <w:br/>
              <w:t>J = Jt/Jlx10</w:t>
            </w:r>
            <w:r w:rsidRPr="006F2B26">
              <w:rPr>
                <w:b/>
                <w:sz w:val="16"/>
                <w:szCs w:val="16"/>
              </w:rPr>
              <w:br/>
              <w:t xml:space="preserve">J – </w:t>
            </w:r>
            <w:r w:rsidRPr="006F2B26">
              <w:rPr>
                <w:b/>
                <w:sz w:val="16"/>
                <w:szCs w:val="16"/>
              </w:rPr>
              <w:t>broj bodova koji je ponuda dobila za ponuđeni jamstveni rok (zaokruženo na dvije</w:t>
            </w:r>
            <w:r w:rsidRPr="006F2B26">
              <w:rPr>
                <w:b/>
                <w:sz w:val="16"/>
                <w:szCs w:val="16"/>
              </w:rPr>
              <w:br/>
              <w:t>decimale)</w:t>
            </w:r>
            <w:r w:rsidRPr="006F2B26">
              <w:rPr>
                <w:b/>
                <w:sz w:val="16"/>
                <w:szCs w:val="16"/>
              </w:rPr>
              <w:br/>
              <w:t>Jt – broj mjeseci jamstvenog roka ponude koja je predmet ocjene</w:t>
            </w:r>
            <w:r w:rsidRPr="006F2B26">
              <w:rPr>
                <w:b/>
                <w:sz w:val="16"/>
                <w:szCs w:val="16"/>
              </w:rPr>
              <w:br/>
              <w:t>Jl  –  najviši broj mjeseci jamstvenog roka koji je ponuđen u postupku javne nabave</w:t>
            </w:r>
            <w:r w:rsidRPr="006F2B26">
              <w:rPr>
                <w:b/>
                <w:sz w:val="16"/>
                <w:szCs w:val="16"/>
              </w:rPr>
              <w:br/>
              <w:t>10 – maksimalni broj bodova</w:t>
            </w:r>
            <w:r w:rsidRPr="006F2B26">
              <w:rPr>
                <w:b/>
                <w:sz w:val="16"/>
                <w:szCs w:val="16"/>
              </w:rPr>
              <w:br/>
              <w:t xml:space="preserve">Ponuditelji u sklopu ponude dostavljaju Izjavu u Prilogu IV. ovog Poziva na dostavu ponuda u kojoj sukladno odredbama Poziva navode predmetni jamstveni rok temeljem kojeg će Naručitelj dodijeliti bodove u sklopu predmetnog kriterija za odabir. </w:t>
            </w:r>
            <w:r w:rsidRPr="006F2B26">
              <w:rPr>
                <w:b/>
                <w:sz w:val="16"/>
                <w:szCs w:val="16"/>
              </w:rPr>
              <w:br/>
            </w:r>
            <w:r w:rsidRPr="006F2B26">
              <w:rPr>
                <w:b/>
                <w:sz w:val="16"/>
                <w:szCs w:val="16"/>
              </w:rPr>
              <w:t xml:space="preserve">Izjava ne mora biti potpisana niti ovjerena pečatom. </w:t>
            </w:r>
            <w:r w:rsidRPr="006F2B26">
              <w:rPr>
                <w:b/>
                <w:sz w:val="16"/>
                <w:szCs w:val="16"/>
              </w:rPr>
              <w:br/>
              <w:t xml:space="preserve">Ako ponuditelj ne ispuni traženi podatak o trajanju jamstvenog roka, odnosno ne dostavi tražene dokaze smatrat će da je ponudio minimalni rok u trajanju 36 mjeseci i ostvarit će 0 bodova za navedeni kriterij. </w:t>
            </w:r>
            <w:r w:rsidRPr="006F2B26">
              <w:rPr>
                <w:b/>
                <w:sz w:val="16"/>
                <w:szCs w:val="16"/>
              </w:rPr>
              <w:br/>
              <w:t xml:space="preserve">Jamstveni rok se iskazuje isključivo cijelim brojem (ne decimalnim), u mjesecima (npr. 25, 36 mjeseci). </w:t>
            </w:r>
            <w:r w:rsidRPr="006F2B26">
              <w:rPr>
                <w:b/>
                <w:sz w:val="16"/>
                <w:szCs w:val="16"/>
              </w:rPr>
              <w:br/>
              <w:t>U slučaju da je trajanje jamstvenog roka iskazano u danima, za preračunavanje dana u mjesece za potrebe primjene ovog kriterija za dodjelu bodo</w:t>
            </w:r>
            <w:r w:rsidRPr="006F2B26">
              <w:rPr>
                <w:b/>
                <w:sz w:val="16"/>
                <w:szCs w:val="16"/>
              </w:rPr>
              <w:t>va uzet će se da 30 dana predstavlja 1 mjesec. U slučaju da je trajanje jamstvenog roka iskazano u godinama, uzet će se da 1 godina iznosi 12 mjeseci.</w:t>
            </w:r>
            <w:r w:rsidRPr="006F2B26">
              <w:rPr>
                <w:b/>
                <w:sz w:val="16"/>
                <w:szCs w:val="16"/>
              </w:rPr>
              <w:br/>
              <w:t>Budući da se radi o kriteriju za odabir ponude, izjava koja se odnosi na nefinancijske kriterije dostavlja se odmah u ponudi, a izjava mora sadržavati potrebne informacije koje će biti naznačene na jasan i nedvosmislen način, kako bi Naručitelj mogao utvrditi ispunjavanje navedenog kriterija.</w:t>
            </w:r>
            <w:r w:rsidRPr="006F2B26">
              <w:rPr>
                <w:b/>
                <w:sz w:val="16"/>
                <w:szCs w:val="16"/>
              </w:rPr>
              <w:br/>
              <w:t>NAČIN IZRAČUNA BODOVA PONUDE:</w:t>
            </w:r>
            <w:r w:rsidRPr="006F2B26">
              <w:rPr>
                <w:b/>
                <w:sz w:val="16"/>
                <w:szCs w:val="16"/>
              </w:rPr>
              <w:br/>
              <w:t>Ukupan broj bodova ponude (E) sastoji</w:t>
            </w:r>
            <w:r w:rsidRPr="006F2B26">
              <w:rPr>
                <w:b/>
                <w:sz w:val="16"/>
                <w:szCs w:val="16"/>
              </w:rPr>
              <w:t xml:space="preserve"> se od zbroja bodova za nefinancijski (J) i financijski (P) kriterij:</w:t>
            </w:r>
            <w:r w:rsidRPr="006F2B26">
              <w:rPr>
                <w:b/>
                <w:sz w:val="16"/>
                <w:szCs w:val="16"/>
              </w:rPr>
              <w:br/>
              <w:t>E = J + P</w:t>
            </w:r>
            <w:r w:rsidRPr="006F2B26">
              <w:rPr>
                <w:b/>
                <w:sz w:val="16"/>
                <w:szCs w:val="16"/>
              </w:rPr>
              <w:br/>
              <w:t>Ekonomski najpovoljnija ponuda je ponuda s najvećim brojem bodova.</w:t>
            </w:r>
          </w:p>
        </w:tc>
      </w:tr>
      <w:tr w:rsidR="00B906D7" w14:paraId="2B29D2F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B1B2B4"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lastRenderedPageBreak/>
              <w:t>Osnove za isključenje</w:t>
            </w:r>
          </w:p>
          <w:p w14:paraId="54219488" w14:textId="6209AF9D" w:rsidR="006C1B3A" w:rsidRDefault="00E053AB">
            <w:pPr>
              <w:widowControl w:val="0"/>
              <w:ind w:left="-3"/>
              <w:jc w:val="both"/>
              <w:rPr>
                <w:rFonts w:asciiTheme="minorHAnsi" w:hAnsiTheme="minorHAnsi"/>
              </w:rPr>
            </w:pPr>
            <w:r>
              <w:t xml:space="preserve">Napomena: 1. Izjava o nepostojanju osnove za isključenje iz članka 251. stavka 1. Zakona o </w:t>
            </w:r>
            <w:r>
              <w:br/>
              <w:t>javnoj nabavi koju za sebe i gospodarski subjekt daje osoba po zakonu ovlaštena za zastupanje gospodarskog subjekta.</w:t>
            </w:r>
            <w:r>
              <w:br/>
              <w:t>1.1. Neplaćanje dospjelih poreznih obveza i obveza za mirovinsko i zdravstveno osiguranje</w:t>
            </w:r>
            <w:r>
              <w:br/>
            </w:r>
            <w: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t>Potvrda ne smije biti starija od 30 dana računajući od dana zaprimanja Poziva na dostavu ponuda.</w:t>
            </w:r>
            <w:r>
              <w:br/>
              <w:t>U slučaju zajednice ponuditelja svi članovi zajednice ponuditelja obvezni su dokazati nepostojanje navedene osnove za isključenje.</w:t>
            </w:r>
            <w:r>
              <w:br/>
            </w:r>
            <w: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274C0A09" w14:textId="77777777" w:rsidR="006C1B3A" w:rsidRDefault="006C1B3A"/>
        </w:tc>
      </w:tr>
      <w:tr w:rsidR="00B906D7" w14:paraId="438128D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E8E0897"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t>Uvjeti sposobnosti gospodarskog subjekta</w:t>
            </w:r>
          </w:p>
          <w:p w14:paraId="29EC8D08" w14:textId="28A3093B" w:rsidR="006C1B3A" w:rsidRDefault="00E053AB">
            <w:pPr>
              <w:widowControl w:val="0"/>
              <w:ind w:left="-3"/>
              <w:jc w:val="both"/>
              <w:rPr>
                <w:rFonts w:asciiTheme="minorHAnsi" w:hAnsiTheme="minorHAnsi"/>
              </w:rPr>
            </w:pPr>
            <w:r>
              <w:t>Napomena: Uvjeti sposobnosti za obavljanje profesionalne djelatnosti:</w:t>
            </w:r>
            <w:r>
              <w:br/>
              <w:t xml:space="preserve">-Isprava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t xml:space="preserve">-Uvjeti tehničke i stručne sposobnosti i njihove minimalne razine: Naručitelj  zahtijeva dokaz tehničke i stručne sposobnosti  u vidu </w:t>
            </w:r>
            <w:r>
              <w:br/>
              <w:t>-popisa robe:</w:t>
            </w:r>
            <w:r>
              <w:br/>
              <w:t>Gospodarski subjekt mora dokazati da je u godini u kojoj je započeo postupak j</w:t>
            </w:r>
            <w:r>
              <w:t>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w:t>
            </w:r>
            <w:r>
              <w:t>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w:t>
            </w:r>
            <w:r>
              <w:t xml:space="preserve"> članova zajednice ili drugih subjekata, obvezna je za te subjekte dokazati profesionalnu sposobnost.</w:t>
            </w:r>
            <w:r>
              <w:br/>
              <w:t xml:space="preserve">-Uvjeti ekonomske i financijske sposobnosti i njihove minimalne razine: Naručitelj ne zahtijeva dokaz ekonomske </w:t>
            </w:r>
            <w:r>
              <w:br/>
              <w:t xml:space="preserve"> i financijske sposobnosti</w:t>
            </w:r>
          </w:p>
          <w:p w14:paraId="72EB2F44" w14:textId="77777777" w:rsidR="006C1B3A" w:rsidRDefault="006C1B3A"/>
        </w:tc>
      </w:tr>
      <w:tr w:rsidR="00B906D7" w14:paraId="1DF80361"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D093BCA" w14:textId="77777777" w:rsidR="00B906D7" w:rsidRDefault="001305CE">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lastRenderedPageBreak/>
              <w:t>Jamstva</w:t>
            </w:r>
          </w:p>
          <w:p w14:paraId="7647933D" w14:textId="24564A97" w:rsidR="006C1B3A" w:rsidRDefault="00E053AB">
            <w:pPr>
              <w:widowControl w:val="0"/>
              <w:ind w:left="-3"/>
              <w:jc w:val="both"/>
              <w:rPr>
                <w:rFonts w:asciiTheme="minorHAnsi" w:hAnsiTheme="minorHAnsi"/>
              </w:rPr>
            </w:pPr>
            <w:r>
              <w:t xml:space="preserve">Napomena: Jamstvo za uredno ispunjenje ugovora: DA </w:t>
            </w:r>
            <w:r>
              <w:br/>
              <w:t xml:space="preserve">Odabrani ponuditelj s kojim će biti sklopljen ugovor o javnoj nabavi je obvezan u roku od 7 dana od potpisivanja ugovora, dostaviti naručitelju jamstvo za uredno ispunjenje ugovora za slučaj povrede ugovornih obveza u iznosu 10% (deset posto) od vrijednosti ugovora (bez PDV-a). </w:t>
            </w:r>
            <w:r>
              <w:br/>
              <w:t>Jamstvo za uredno ispunjenje ugovora o javnoj nabavi podnosi se u obliku bankarske garancije, koja mora biti neopoziva, bezuvjetna i plativa na poziv ili uplatom novčanog pologa u korist računa naručitelja.</w:t>
            </w:r>
            <w:r>
              <w:br/>
              <w:t>Jamstvo za uredno ispunj</w:t>
            </w:r>
            <w:r>
              <w:t>enje ugovora o javnoj nabavi mora biti valjano minimalno 45 dana duže od isteka roka izvršenja ugovora.</w:t>
            </w:r>
            <w:r>
              <w:br/>
              <w:t>U slučaju sklapanja ugovora o javnoj nabavi sa zajednicom gospodarskih subjekata, jamstvo za uredno ispunjenje ugovora o javnoj nabavi u cijelosti može dostaviti bilo koji član zajednice gospodarskih subjekata ili parcijalno s drugim članovima zajednice gospodarskih subjekata, pod uvjetom da jamstvo za uredno ispunjenje ugovora o javnoj nabavi mora iznositi 10% (deset posto) od vrijednosti ugovora (bez PD</w:t>
            </w:r>
            <w:r>
              <w:t>V-a).</w:t>
            </w:r>
            <w:r>
              <w:br/>
              <w:t>U slučaju zajednice gospodarskih subjekata jamstvo:</w:t>
            </w:r>
            <w:r>
              <w:br/>
              <w:t>-  ili mora glasiti na sve članove zajednice, a ne samo na jednog člana zajednice gospodarskih subjekata (svi članovi zajednice gospodarskih subjekata su nalogodavci na bankarskoj garanciji)</w:t>
            </w:r>
            <w:r>
              <w:br/>
              <w:t>-  ili jedan član ili više članova zajednice može/mogu biti nalogodavac, a jamstvo mora sadržavati navod o tome da je riječ o zajednici gospodarskih subjekata (moraju biti navedeni svi preostali članovi zajednice)</w:t>
            </w:r>
            <w:r>
              <w:br/>
              <w:t>-  ili svaki član zajednice gospodarskih subjekat</w:t>
            </w:r>
            <w:r>
              <w:t>a dostavlja zasebno jamstvo za svoj dio garancije (zbroj svih iznosa garancija mora odgovarati iznosu jamstva navedenom u dokumentaciji o nabavi).</w:t>
            </w:r>
            <w:r>
              <w:br/>
              <w:t>U slučaju nedostavljanja jamstva za uredno ispunjenje ugovora o javnoj nabavi u ugovorenom roku, naručitelj ima pravo raskinuti ugovor, odnosno ima pravo naplatiti ugovornu kaznu.</w:t>
            </w:r>
            <w:r>
              <w:br/>
              <w:t>U slučaju izmjene ugovora o javnoj nabavi za vrijeme njegova trajanja u smislu sklapanja dodatka ugovoru radi produženja roka izvršenja ugovora i/ili povećanja ugovorene cijene,  ugovar</w:t>
            </w:r>
            <w:r>
              <w:t>atelj se obvezuje dostaviti novo jamstvo ili produženje istog u roku 15 (petnaest) dana od dana obostranog potpisa dodatka ugovoru.</w:t>
            </w:r>
            <w:r>
              <w:br/>
              <w:t>U slučaju da ugovaratelj ne dostavi novo jamstvo sukladno navedenom, naručitelj će naplatiti prvotno dostavljeno jamstvo za uredno ispunjenje ugovora za slučaj povrede ugovornih obveza odnosno ugovornu kaznu te ima pravo raskinuti ugovor.</w:t>
            </w:r>
            <w:r>
              <w:br/>
              <w:t>Jamstvo za uredno ispunjenje ugovora naručitelj će vratiti ugovaratelju nakon dostave jamstva za otklanjanje nedostataka u jamstvenom roku.</w:t>
            </w:r>
            <w:r>
              <w:br/>
            </w:r>
            <w:r>
              <w:br/>
            </w:r>
            <w:r>
              <w:t>JAMSTVO ZA OTKLANJANJE NEDOSTATAKA U JAMSTVENOM ROKU</w:t>
            </w:r>
            <w:r>
              <w:br/>
              <w:t>Ugovaratelj je dužan Naručitelju dostaviti jamstvo za otklanjanje nedostataka u jamstvenom roku u obliku neopozive i bezuvjetne, bankarske garancije na „prvi poziv“ i „bez prigovora“ u iznosu od 10% (deset posto) vrijednosti isporučene opreme bez PDV-a u roku od 7 dana potpisivanja Završnog zapisnika o primopredaji kojim se evidentira izvršenje isporuke sve robe. Rok važenja jamstva za otklanjanje nedostataka minimalno je u dužini jamstvenog roka kojeg je</w:t>
            </w:r>
            <w:r>
              <w:t xml:space="preserve"> ponuditelj dostavio u sklopu svoje ponude, odnosno kojeg navede u Izjavi o trajanju jamstva za otklanjanje nedostataka.</w:t>
            </w:r>
            <w:r>
              <w:br/>
              <w:t>Jamstveni rok za isporučenu robu počinje teći od dana uredne primopredaje isporučene robe.</w:t>
            </w:r>
            <w:r>
              <w:br/>
              <w:t xml:space="preserve">Ovo jamstvo Naručitelj će aktivirati u slučaju da Izvođač u jamstvenom roku ne ispuni obvezu otklanjanja nedostataka koje ima po osnovi jamstva ili s naslova naknade štete. </w:t>
            </w:r>
            <w:r>
              <w:br/>
              <w:t xml:space="preserve">Umjesto dostavljanja jamstva za otklanjanje nedostataka u jamstvenom roku u obliku bankovne garancije, odabrani ponuditelj je </w:t>
            </w:r>
            <w:r>
              <w:t xml:space="preserve">ovlašten uplatiti novčani polog u traženom iznosu visine jamstva na račun Naručitelja . </w:t>
            </w:r>
          </w:p>
          <w:p w14:paraId="32E889B7" w14:textId="77777777" w:rsidR="006C1B3A" w:rsidRDefault="006C1B3A"/>
        </w:tc>
      </w:tr>
      <w:tr w:rsidR="00B906D7" w14:paraId="690A5D87"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EA6682B" w14:textId="77777777" w:rsidR="00B906D7" w:rsidRDefault="001305CE">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lastRenderedPageBreak/>
              <w:t>Ostalo</w:t>
            </w:r>
          </w:p>
          <w:p w14:paraId="60F721D8" w14:textId="2A8C4CBD" w:rsidR="006C1B3A" w:rsidRDefault="00E053AB">
            <w:pPr>
              <w:widowControl w:val="0"/>
              <w:ind w:left="-3"/>
              <w:jc w:val="both"/>
              <w:rPr>
                <w:rFonts w:asciiTheme="minorHAnsi" w:hAnsiTheme="minorHAnsi"/>
              </w:rPr>
            </w:pPr>
            <w:r>
              <w:t xml:space="preserve">Napomena: Odredbe koje se odnose na zajednicu gospodarskih subjekata: Više gospodarskih subjekata može se udružiti i dostaviti zajedničku ponudu, neovisno o uređenju njihova međusobnog odnosa. </w:t>
            </w:r>
            <w:r>
              <w:br/>
              <w:t>- Odredbe koje se odnose na podugovaratelje: Naručitelj ne zahtijeva od gospodarskih subjekata da dio ugovora o nabavi daju u podugovor ili da angažiraju određene podugovaratelje niti ih u tome ograničava.</w:t>
            </w:r>
            <w:r>
              <w:br/>
              <w:t>Ukoliko gospodarski subjekt namjerava dati dio ugovora o nabavi u podugovor, gospodarski subjekt u ponudi dokazuje tražene dokaze za podgovaratelja.</w:t>
            </w:r>
            <w:r>
              <w:br/>
              <w:t>Ponuditelj koji namjerava dati dio ugovora o nabavi u podugovor, obvezan je u ponudi navesti koji dio ugovora namjerava dati u podugovor (predmet ili količi</w:t>
            </w:r>
            <w:r>
              <w:t>na, vrijednost ili postotni udio), te podatke o podugovarateljima (naziv ili tvrtka, sjedište, OIB ili nacionalni identifikacijski broj, broj IBAN računa, zakonske zastupnike podugovaratelja).</w:t>
            </w:r>
            <w:r>
              <w:br/>
              <w:t xml:space="preserve">Navedeni podaci o svakom podugovaratelju bit će navedeni u ugovoru. </w:t>
            </w:r>
            <w:r>
              <w:br/>
              <w:t xml:space="preserve">Naručitelj će neposredno plaćati podugovaratelju za dio ugovora koji je isti izvršio. </w:t>
            </w:r>
            <w:r>
              <w:br/>
              <w:t xml:space="preserve">Izvršitelj mora, uz račun, odnosno situaciju koje izdaje naručitelju obvezno priložiti račun odnosno </w:t>
            </w:r>
            <w:r>
              <w:br/>
              <w:t>situaciju svojih podugovaratelja koje je prethodno ovjerio.</w:t>
            </w:r>
            <w:r>
              <w:br/>
              <w:t>T</w:t>
            </w:r>
            <w:r>
              <w:t>emeljem rezultata pregleda i ocjene ponuda Dom je obvezan odbiti:</w:t>
            </w:r>
            <w:r>
              <w:br/>
              <w:t>-</w:t>
            </w:r>
            <w:r>
              <w:tab/>
              <w:t xml:space="preserve">ponudu ponuditelja koji nije dostavio jamstvo za ozbiljnost ponude ako je traženo, odnosno ako dostavljeno jamstvo nije valjano, </w:t>
            </w:r>
            <w:r>
              <w:br/>
              <w:t>- ponudu ponuditelja koji nije dokazao svoju sposobnost u skladu s pozivom za dostavu ponuda, ako je traženo</w:t>
            </w:r>
            <w:r>
              <w:br/>
              <w:t>-</w:t>
            </w:r>
            <w:r>
              <w:tab/>
              <w:t xml:space="preserve">ponudu koja je suprotna odredbama poziva za dostavu ponuda, </w:t>
            </w:r>
            <w:r>
              <w:br/>
              <w:t>-</w:t>
            </w:r>
            <w:r>
              <w:tab/>
              <w:t xml:space="preserve">ponudu u kojoj cijena nije iskazana u apsolutnom iznosu, </w:t>
            </w:r>
            <w:r>
              <w:br/>
              <w:t>-</w:t>
            </w:r>
            <w:r>
              <w:tab/>
              <w:t>ponudu koja ne ispunjava uvjete vezane za svojstva predmeta nabave, te time ne i</w:t>
            </w:r>
            <w:r>
              <w:t xml:space="preserve">spunjava zahtjeve iz dokumentacije za nadmetanje, </w:t>
            </w:r>
            <w:r>
              <w:br/>
              <w:t>- ponude ponuditelja koji je dostavio dvije ili više ponuda u kojima je ponuditelj.</w:t>
            </w:r>
            <w:r>
              <w:br/>
              <w:t xml:space="preserve">Dom je obvezan poništiti postupak jednostavne nabave ako: </w:t>
            </w:r>
            <w:r>
              <w:br/>
              <w:t>- nije pristigla nijedna ponuda,</w:t>
            </w:r>
            <w:r>
              <w:br/>
              <w:t>- cijena najpovoljnije ponude veća od procijenjene vrijednosti nabave, osim ako Dom ima ili će imati osigurana sredstva.</w:t>
            </w:r>
            <w:r>
              <w:br/>
              <w:t>- nakon isključenja odbijanja ponuda ne preostane nijedna valjana ponuda.</w:t>
            </w:r>
            <w:r>
              <w:br/>
            </w:r>
            <w:r>
              <w:br/>
              <w:t xml:space="preserve">Dom može poništiti postupak javne nabave ako: </w:t>
            </w:r>
            <w:r>
              <w:br/>
              <w:t>-postanu poznate okolnosti zbog kojih ne b</w:t>
            </w:r>
            <w:r>
              <w:t xml:space="preserve">i došlo do pokretanja postupka jednostavne nabave da su bile poznate prije; </w:t>
            </w:r>
            <w:r>
              <w:br/>
              <w:t>- postanu poznate okolnosti zbog kojih bi došlo do sadržajno bitno drugačijeg poziva za dostavu ponuda su bile poznate prije</w:t>
            </w:r>
            <w:r>
              <w:br/>
              <w:t>- ako je cijena najpovoljnije ponude veća od osiguranih sredstava u financijskom planu Doma.</w:t>
            </w:r>
            <w:r>
              <w:br/>
              <w:t xml:space="preserve">Sukob interesa: Sukladno članku 75. ZJN 2016 naručitelj je obvezan poduzeti prikladne mjere da učinkovito spriječi, prepozna i ukloni sukobe interesa u vezi s postupkom nabave kako bi se izbjeglo narušavanje tržišnog </w:t>
            </w:r>
            <w:r>
              <w:t>natjecanja i osiguralo jednako postupanje prema svim gospodarskim subjektima. Ujedno, sukladno članku 199. ZJN 2016 ako je gospodarski subjekt koji je povezan s natjecateljem ili ponuditeljem na bilo koji način bio uključen u pripremu postupka nabave, naručitelj je obvezan poduzeti odgovarajuće mjere kako bi osigurao da sudjelovanje tog natjecatelja ili ponuditelja ne naruši tržišno natjecanje.</w:t>
            </w:r>
            <w:r>
              <w:br/>
            </w:r>
            <w:r>
              <w:lastRenderedPageBreak/>
              <w:t>Popis gospodarskih subjekata s kojima je naručitelj u sukobu interesa: Sukladno članku 80. ZJN 2016 naručitelj nav</w:t>
            </w:r>
            <w:r>
              <w:t>odi popis gospodarskih subjekata s kojima je u sukobu interesa;</w:t>
            </w:r>
            <w:r>
              <w:br/>
              <w:t xml:space="preserve">         1.“STRIGIDA „ obrt za savjetovanje i istraživanje, Kornatska ulica 1 D, Zagreb</w:t>
            </w:r>
            <w:r>
              <w:br/>
            </w:r>
            <w:r>
              <w:br/>
              <w:t>Niti jedan gospodarski subjekt nije bio uključen u pripremu ovog postupka.</w:t>
            </w:r>
          </w:p>
          <w:p w14:paraId="03DA4EB6" w14:textId="77777777" w:rsidR="006C1B3A" w:rsidRDefault="006C1B3A"/>
        </w:tc>
      </w:tr>
      <w:tr w:rsidR="00B906D7" w14:paraId="654132E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2F3D6" w14:textId="77777777" w:rsidR="00B906D7" w:rsidRDefault="001305CE">
            <w:pPr>
              <w:keepNext/>
              <w:widowControl w:val="0"/>
              <w:jc w:val="both"/>
              <w:rPr>
                <w:rFonts w:asciiTheme="minorHAnsi" w:hAnsiTheme="minorHAnsi"/>
                <w:lang w:bidi="hr-HR"/>
              </w:rPr>
            </w:pPr>
            <w:r>
              <w:rPr>
                <w:rFonts w:asciiTheme="minorHAnsi" w:hAnsiTheme="minorHAnsi"/>
                <w:b/>
                <w:lang w:bidi="hr-HR"/>
              </w:rPr>
              <w:lastRenderedPageBreak/>
              <w:t>SASTAVNI DIJELOVI PONUDE</w:t>
            </w:r>
          </w:p>
        </w:tc>
      </w:tr>
      <w:tr w:rsidR="00B906D7" w14:paraId="08EA6C37" w14:textId="77777777" w:rsidTr="006F2B26">
        <w:trPr>
          <w:cantSplit/>
          <w:trHeight w:val="20"/>
          <w:jc w:val="center"/>
        </w:trPr>
        <w:tc>
          <w:tcPr>
            <w:tcW w:w="1782" w:type="pct"/>
            <w:tcBorders>
              <w:top w:val="single" w:sz="4" w:space="0" w:color="000000"/>
              <w:left w:val="single" w:sz="4" w:space="0" w:color="000000"/>
              <w:bottom w:val="single" w:sz="4" w:space="0" w:color="000000"/>
            </w:tcBorders>
            <w:shd w:val="clear" w:color="auto" w:fill="FFFFFF"/>
          </w:tcPr>
          <w:p w14:paraId="1B396DFC" w14:textId="77777777" w:rsidR="006F2B26" w:rsidRDefault="006F2B26" w:rsidP="006F2B26">
            <w:pPr>
              <w:widowControl w:val="0"/>
              <w:jc w:val="both"/>
              <w:rPr>
                <w:rFonts w:asciiTheme="minorHAnsi" w:hAnsiTheme="minorHAnsi"/>
                <w:lang w:bidi="hr-HR"/>
              </w:rPr>
            </w:pPr>
            <w:r>
              <w:rPr>
                <w:rFonts w:asciiTheme="minorHAnsi" w:hAnsiTheme="minorHAnsi"/>
                <w:lang w:bidi="hr-HR"/>
              </w:rPr>
              <w:t>Ponuda treba sadržavati:</w:t>
            </w:r>
          </w:p>
          <w:p w14:paraId="053D0EC1" w14:textId="77777777" w:rsidR="006F2B26" w:rsidRDefault="006F2B26" w:rsidP="006F2B26">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I-Ponudbeni list (ispunjen i potpisan od strane ponuditelja);</w:t>
            </w:r>
          </w:p>
          <w:p w14:paraId="126BAA0E" w14:textId="77777777" w:rsidR="006F2B26" w:rsidRDefault="006F2B26" w:rsidP="006F2B26">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II-Troškovnik (ispunjen i potpisan od strane ponuditelja);</w:t>
            </w:r>
          </w:p>
          <w:p w14:paraId="47678772" w14:textId="77777777" w:rsidR="006F2B26" w:rsidRDefault="006F2B26" w:rsidP="006F2B26">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III-Izjava o nekažnjavanju</w:t>
            </w:r>
          </w:p>
          <w:p w14:paraId="69C3E845" w14:textId="77777777" w:rsidR="006F2B26" w:rsidRDefault="006F2B26" w:rsidP="006F2B26">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IV- Izjava o duljini jamstvenog roka</w:t>
            </w:r>
          </w:p>
          <w:p w14:paraId="1BB28053" w14:textId="77777777" w:rsidR="006F2B26" w:rsidRDefault="006F2B26" w:rsidP="006F2B26">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Dokazi </w:t>
            </w:r>
          </w:p>
          <w:p w14:paraId="53BC40A5" w14:textId="29437056" w:rsidR="00B906D7" w:rsidRDefault="00B906D7" w:rsidP="006F2B26">
            <w:pPr>
              <w:pStyle w:val="Odlomakpopisa"/>
              <w:widowControl w:val="0"/>
              <w:spacing w:before="0" w:after="0"/>
              <w:ind w:left="360"/>
              <w:jc w:val="both"/>
              <w:rPr>
                <w:rFonts w:asciiTheme="minorHAnsi" w:hAnsiTheme="minorHAnsi"/>
                <w:lang w:bidi="hr-HR"/>
              </w:rPr>
            </w:pPr>
          </w:p>
        </w:tc>
        <w:tc>
          <w:tcPr>
            <w:tcW w:w="3218" w:type="pct"/>
            <w:tcBorders>
              <w:top w:val="single" w:sz="4" w:space="0" w:color="000000"/>
              <w:left w:val="single" w:sz="4" w:space="0" w:color="000000"/>
              <w:bottom w:val="single" w:sz="4" w:space="0" w:color="000000"/>
              <w:right w:val="single" w:sz="4" w:space="0" w:color="000000"/>
            </w:tcBorders>
            <w:shd w:val="clear" w:color="auto" w:fill="FFFFFF"/>
          </w:tcPr>
          <w:p w14:paraId="7808E948" w14:textId="77777777" w:rsidR="00B906D7" w:rsidRDefault="00B906D7">
            <w:pPr>
              <w:widowControl w:val="0"/>
              <w:jc w:val="both"/>
              <w:rPr>
                <w:rFonts w:asciiTheme="minorHAnsi" w:hAnsiTheme="minorHAnsi"/>
                <w:lang w:bidi="hr-HR"/>
              </w:rPr>
            </w:pPr>
          </w:p>
        </w:tc>
      </w:tr>
      <w:tr w:rsidR="00B906D7" w14:paraId="34366892"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46339A"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248E94C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265689C6"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60F03783"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7A8E7A79" w14:textId="77777777" w:rsidR="006C1B3A" w:rsidRDefault="00E053AB">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12:00 sati 13.11.2025.</w:t>
            </w:r>
            <w:r>
              <w:rPr>
                <w:rFonts w:asciiTheme="minorHAnsi" w:hAnsiTheme="minorHAnsi"/>
                <w:lang w:bidi="hr-HR"/>
              </w:rPr>
              <w:t xml:space="preserve"> godine</w:t>
            </w:r>
            <w:r>
              <w:rPr>
                <w:rFonts w:asciiTheme="minorHAnsi" w:hAnsiTheme="minorHAnsi"/>
                <w:i/>
                <w:lang w:bidi="hr-HR"/>
              </w:rPr>
              <w:t>;</w:t>
            </w:r>
          </w:p>
          <w:p w14:paraId="46FD64A6" w14:textId="77777777" w:rsidR="006C1B3A" w:rsidRDefault="00E053AB">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020B1557" w14:textId="6EB6A3BA" w:rsidR="006C1B3A" w:rsidRDefault="00E053AB">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sidR="006F2B26">
              <w:rPr>
                <w:b/>
              </w:rPr>
              <w:t>Trg Drage Iblera 8, 10000 Zagreb</w:t>
            </w:r>
          </w:p>
          <w:p w14:paraId="7E3E66B2" w14:textId="77777777" w:rsidR="006C1B3A" w:rsidRDefault="00E053AB">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12:00 sati 13.11.2025.</w:t>
            </w:r>
            <w:r>
              <w:rPr>
                <w:rFonts w:asciiTheme="minorHAnsi" w:hAnsiTheme="minorHAnsi"/>
                <w:lang w:bidi="hr-HR"/>
              </w:rPr>
              <w:t xml:space="preserve"> godine u mjestu</w:t>
            </w:r>
            <w:r>
              <w:rPr>
                <w:rFonts w:asciiTheme="minorHAnsi" w:hAnsiTheme="minorHAnsi"/>
                <w:b/>
                <w:lang w:bidi="hr-HR"/>
              </w:rPr>
              <w:t xml:space="preserve"> </w:t>
            </w:r>
            <w:r>
              <w:rPr>
                <w:b/>
              </w:rPr>
              <w:t>Trg Drage Iblera 8, 10000 Zagreb</w:t>
            </w:r>
          </w:p>
          <w:p w14:paraId="3AF6AE6E"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46EB4CB6"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CEEF9A1"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OSTALO</w:t>
            </w:r>
          </w:p>
        </w:tc>
      </w:tr>
      <w:tr w:rsidR="00B906D7" w14:paraId="5E1E8D2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BEAB6F0" w14:textId="0697D709" w:rsidR="006C1B3A" w:rsidRDefault="00E053AB">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w:t>
            </w:r>
            <w:r w:rsidR="006F2B26">
              <w:rPr>
                <w:b/>
              </w:rPr>
              <w:t>, mob</w:t>
            </w:r>
            <w:r>
              <w:rPr>
                <w:b/>
              </w:rPr>
              <w:t>.:</w:t>
            </w:r>
            <w:r>
              <w:rPr>
                <w:b/>
              </w:rPr>
              <w:t xml:space="preserve"> </w:t>
            </w:r>
            <w:r w:rsidR="006F2B26">
              <w:rPr>
                <w:b/>
              </w:rPr>
              <w:t>0913817805</w:t>
            </w:r>
          </w:p>
          <w:p w14:paraId="0678E058" w14:textId="77777777" w:rsidR="006C1B3A" w:rsidRDefault="00E053AB">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14:00</w:t>
            </w:r>
            <w:r>
              <w:rPr>
                <w:rFonts w:asciiTheme="minorHAnsi" w:hAnsiTheme="minorHAnsi"/>
                <w:lang w:bidi="hr-HR"/>
              </w:rPr>
              <w:t xml:space="preserve"> svakim radnim danom;</w:t>
            </w:r>
          </w:p>
          <w:p w14:paraId="66434A90" w14:textId="77777777" w:rsidR="006C1B3A" w:rsidRDefault="00E053AB">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15</w:t>
            </w:r>
            <w:r>
              <w:rPr>
                <w:rFonts w:asciiTheme="minorHAnsi" w:hAnsiTheme="minorHAnsi"/>
                <w:lang w:bidi="hr-HR"/>
              </w:rPr>
              <w:t xml:space="preserve"> dana od dana isteka roka za dostavu ponuda.</w:t>
            </w:r>
          </w:p>
          <w:p w14:paraId="75FEB959" w14:textId="77777777" w:rsidR="00E053AB" w:rsidRDefault="00E053AB" w:rsidP="00E053AB">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481994E6" w14:textId="77777777" w:rsidR="00E053AB" w:rsidRDefault="00E053AB" w:rsidP="00E053AB">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18722847" w14:textId="77777777" w:rsidR="00E053AB" w:rsidRDefault="00E053AB" w:rsidP="00E053AB">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6E7FF4C5" w14:textId="77777777" w:rsidR="00E053AB" w:rsidRDefault="00E053AB" w:rsidP="00E053AB">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III. Izjava o nekažnjavanju</w:t>
            </w:r>
          </w:p>
          <w:p w14:paraId="1697F1A9" w14:textId="3DDE269F" w:rsidR="00B906D7" w:rsidRDefault="00E053AB" w:rsidP="00E053AB">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IV. Izjava o duljini jamstvenog roka</w:t>
            </w:r>
            <w:r w:rsidR="001305CE">
              <w:rPr>
                <w:rFonts w:asciiTheme="minorHAnsi" w:hAnsiTheme="minorHAnsi"/>
                <w:lang w:bidi="hr-HR"/>
              </w:rPr>
              <w:t>.</w:t>
            </w:r>
          </w:p>
        </w:tc>
      </w:tr>
      <w:tr w:rsidR="00B906D7" w14:paraId="439E098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5518EF52"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38A20FCE" w14:textId="77777777" w:rsidR="00B906D7" w:rsidRDefault="00B906D7">
            <w:pPr>
              <w:widowControl w:val="0"/>
              <w:jc w:val="right"/>
              <w:rPr>
                <w:rFonts w:asciiTheme="minorHAnsi" w:hAnsiTheme="minorHAnsi"/>
                <w:lang w:bidi="hr-HR"/>
              </w:rPr>
            </w:pPr>
          </w:p>
          <w:p w14:paraId="1C706212" w14:textId="77777777" w:rsidR="00E053AB" w:rsidRDefault="00E053AB">
            <w:pPr>
              <w:widowControl w:val="0"/>
              <w:jc w:val="right"/>
              <w:rPr>
                <w:b/>
              </w:rPr>
            </w:pPr>
            <w:r>
              <w:rPr>
                <w:b/>
              </w:rPr>
              <w:t>v.d. Ravnateljice</w:t>
            </w:r>
          </w:p>
          <w:p w14:paraId="3C4524B5" w14:textId="2B407E7D" w:rsidR="006C1B3A" w:rsidRDefault="00E053AB">
            <w:pPr>
              <w:widowControl w:val="0"/>
              <w:jc w:val="right"/>
              <w:rPr>
                <w:rFonts w:asciiTheme="minorHAnsi" w:hAnsiTheme="minorHAnsi"/>
                <w:b/>
                <w:lang w:bidi="hr-HR"/>
              </w:rPr>
            </w:pPr>
            <w:r>
              <w:rPr>
                <w:rFonts w:asciiTheme="minorHAnsi" w:hAnsiTheme="minorHAnsi"/>
                <w:b/>
                <w:lang w:bidi="hr-HR"/>
              </w:rPr>
              <w:t xml:space="preserve">Andreja </w:t>
            </w:r>
            <w:proofErr w:type="spellStart"/>
            <w:r>
              <w:rPr>
                <w:rFonts w:asciiTheme="minorHAnsi" w:hAnsiTheme="minorHAnsi"/>
                <w:b/>
                <w:lang w:bidi="hr-HR"/>
              </w:rPr>
              <w:t>Mihatović</w:t>
            </w:r>
            <w:proofErr w:type="spellEnd"/>
            <w:r>
              <w:rPr>
                <w:rFonts w:asciiTheme="minorHAnsi" w:hAnsiTheme="minorHAnsi"/>
                <w:b/>
                <w:lang w:bidi="hr-HR"/>
              </w:rPr>
              <w:t>, mag.act.soc.</w:t>
            </w:r>
            <w:r>
              <w:rPr>
                <w:rFonts w:asciiTheme="minorHAnsi" w:hAnsiTheme="minorHAnsi"/>
                <w:b/>
                <w:lang w:bidi="hr-HR"/>
              </w:rPr>
              <w:br/>
            </w:r>
            <w:r>
              <w:rPr>
                <w:rFonts w:asciiTheme="minorHAnsi" w:hAnsiTheme="minorHAnsi"/>
                <w:b/>
                <w:lang w:bidi="hr-HR"/>
              </w:rPr>
              <w:br/>
            </w:r>
            <w:r>
              <w:rPr>
                <w:rFonts w:asciiTheme="minorHAnsi" w:hAnsiTheme="minorHAnsi"/>
              </w:rPr>
              <w:t>______________________________</w:t>
            </w:r>
          </w:p>
        </w:tc>
      </w:tr>
    </w:tbl>
    <w:p w14:paraId="20E118E0" w14:textId="77777777" w:rsidR="006C1B3A" w:rsidRDefault="006C1B3A">
      <w:pPr>
        <w:rPr>
          <w:rFonts w:asciiTheme="minorHAnsi" w:hAnsiTheme="minorHAnsi"/>
          <w:lang w:val="en-US"/>
        </w:rPr>
      </w:pPr>
    </w:p>
    <w:sectPr w:rsidR="006C1B3A">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35970" w14:textId="77777777" w:rsidR="009615DC" w:rsidRDefault="009615DC">
      <w:pPr>
        <w:spacing w:line="240" w:lineRule="auto"/>
      </w:pPr>
      <w:r>
        <w:separator/>
      </w:r>
    </w:p>
  </w:endnote>
  <w:endnote w:type="continuationSeparator" w:id="0">
    <w:p w14:paraId="2A549C0A" w14:textId="77777777" w:rsidR="009615DC" w:rsidRDefault="0096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charset w:val="80"/>
    <w:family w:val="swiss"/>
    <w:pitch w:val="variable"/>
    <w:sig w:usb0="30000287" w:usb1="2BDF3C10" w:usb2="00000016" w:usb3="00000000" w:csb0="002E0107" w:csb1="00000000"/>
  </w:font>
  <w:font w:name="Open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E9D46"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73277158"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4B343262"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66AAFB73"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487D5819"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1549F" w14:textId="77777777" w:rsidR="009615DC" w:rsidRDefault="009615DC">
      <w:pPr>
        <w:spacing w:line="240" w:lineRule="auto"/>
      </w:pPr>
      <w:r>
        <w:separator/>
      </w:r>
    </w:p>
  </w:footnote>
  <w:footnote w:type="continuationSeparator" w:id="0">
    <w:p w14:paraId="186DCD85" w14:textId="77777777" w:rsidR="009615DC" w:rsidRDefault="00961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2615C903" w14:textId="77777777">
      <w:tc>
        <w:tcPr>
          <w:tcW w:w="4818" w:type="dxa"/>
        </w:tcPr>
        <w:p w14:paraId="24461140" w14:textId="77777777" w:rsidR="00B906D7" w:rsidRDefault="00B906D7">
          <w:pPr>
            <w:pStyle w:val="TableContents"/>
          </w:pPr>
        </w:p>
      </w:tc>
      <w:tc>
        <w:tcPr>
          <w:tcW w:w="4819" w:type="dxa"/>
        </w:tcPr>
        <w:p w14:paraId="2F10799A" w14:textId="77777777" w:rsidR="00B906D7" w:rsidRDefault="00B906D7">
          <w:pPr>
            <w:pStyle w:val="TableContents"/>
          </w:pPr>
        </w:p>
      </w:tc>
    </w:tr>
  </w:tbl>
  <w:p w14:paraId="2CCD372E"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EBC7"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6009" w14:textId="77777777" w:rsidR="00B906D7" w:rsidRDefault="00B906D7" w:rsidP="00C95E90">
    <w:pPr>
      <w:pStyle w:val="HeaderLeft"/>
      <w:jc w:val="right"/>
    </w:pPr>
  </w:p>
  <w:p w14:paraId="2C9A1A27"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204364890">
    <w:abstractNumId w:val="7"/>
  </w:num>
  <w:num w:numId="2" w16cid:durableId="1050883562">
    <w:abstractNumId w:val="3"/>
  </w:num>
  <w:num w:numId="3" w16cid:durableId="742265258">
    <w:abstractNumId w:val="4"/>
  </w:num>
  <w:num w:numId="4" w16cid:durableId="1092316167">
    <w:abstractNumId w:val="0"/>
  </w:num>
  <w:num w:numId="5" w16cid:durableId="927810795">
    <w:abstractNumId w:val="1"/>
  </w:num>
  <w:num w:numId="6" w16cid:durableId="308293849">
    <w:abstractNumId w:val="2"/>
  </w:num>
  <w:num w:numId="7" w16cid:durableId="245041592">
    <w:abstractNumId w:val="5"/>
  </w:num>
  <w:num w:numId="8" w16cid:durableId="935601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D21DA"/>
    <w:rsid w:val="00334452"/>
    <w:rsid w:val="003423C7"/>
    <w:rsid w:val="00395D7D"/>
    <w:rsid w:val="003A04C5"/>
    <w:rsid w:val="003C167E"/>
    <w:rsid w:val="005606A2"/>
    <w:rsid w:val="0060653E"/>
    <w:rsid w:val="0061559D"/>
    <w:rsid w:val="006C1B3A"/>
    <w:rsid w:val="006F2B26"/>
    <w:rsid w:val="007A41A6"/>
    <w:rsid w:val="007F005A"/>
    <w:rsid w:val="009043C9"/>
    <w:rsid w:val="009615DC"/>
    <w:rsid w:val="00995A95"/>
    <w:rsid w:val="009A59AF"/>
    <w:rsid w:val="00B14C2F"/>
    <w:rsid w:val="00B33ECF"/>
    <w:rsid w:val="00B906D7"/>
    <w:rsid w:val="00C2069E"/>
    <w:rsid w:val="00C95E90"/>
    <w:rsid w:val="00E053AB"/>
    <w:rsid w:val="00E5465F"/>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FA1A2"/>
  <w15:docId w15:val="{13C58C14-6E0A-4B9F-A49C-BA68EC13E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microsoft.com/office/word/2012/wordprocessingDrawing"/>
    <ds:schemaRef ds:uri="http://schemas.microsoft.com/office/drawing/2018/hyperlinkcolor"/>
    <ds:schemaRef ds:uri="http://schemas.microsoft.com/office/drawing/2017/decorative"/>
    <ds:schemaRef ds:uri="http://schemas.microsoft.com/office/drawing/2016/SVG/main"/>
    <ds:schemaRef ds:uri="http://schemas.microsoft.com/office/drawing/2016/12/diagram"/>
    <ds:schemaRef ds:uri="http://schemas.microsoft.com/office/drawing/2016/11/main"/>
    <ds:schemaRef ds:uri="http://schemas.microsoft.com/office/drawing/2014/main"/>
    <ds:schemaRef ds:uri="http://schemas.microsoft.com/office/drawing/2014/chart/ac"/>
    <ds:schemaRef ds:uri="http://schemas.microsoft.com/office/drawing/2010/picture"/>
    <ds:schemaRef ds:uri="http://schemas.microsoft.com/office/drawing/2012/main"/>
    <ds:schemaRef ds:uri="http://schemas.microsoft.com/office/drawing/2010/diagram"/>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Group"/>
    <ds:schemaRef ds:uri="http://schemas.microsoft.com/office/word/2010/wordprocessingCanvas"/>
    <ds:schemaRef ds:uri="http://schemas.microsoft.com/office/word/2010/wordprocessingShape"/>
    <ds:schemaRef ds:uri="http://schemas.microsoft.com/office/thememl/2012/main"/>
    <ds:schemaRef ds:uri="http://schemas.microsoft.com/office/powerpoint/2014/inkAction"/>
    <ds:schemaRef ds:uri="http://schemas.microsoft.com/office/drawing/2018/animation/model3d"/>
    <ds:schemaRef ds:uri="http://schemas.microsoft.com/office/drawing/2018/animation"/>
    <ds:schemaRef ds:uri="http://schemas.microsoft.com/office/drawing/2017/model3d"/>
    <ds:schemaRef ds:uri="http://schemas.microsoft.com/office/drawing/2017/03/chart"/>
    <ds:schemaRef ds:uri="http://schemas.microsoft.com/office/drawing/2016/11/diagram"/>
    <ds:schemaRef ds:uri="http://schemas.microsoft.com/office/drawing/2014/chart"/>
    <ds:schemaRef ds:uri="http://schemas.microsoft.com/office/drawing/2014/chartex"/>
    <ds:schemaRef ds:uri="http://schemas.microsoft.com/office/drawing/2013/main/command"/>
    <ds:schemaRef ds:uri="http://www.w3.org/2003/InkML"/>
    <ds:schemaRef ds:uri="http://www.w3.org/1998/Math/MathML"/>
    <ds:schemaRef ds:uri="http://schemas.microsoft.com/office/drawing/2012/chartStyle"/>
    <ds:schemaRef ds:uri="http://schemas.microsoft.com/office/drawing/2012/chart"/>
    <ds:schemaRef ds:uri="http://schemas.microsoft.com/office/drawing/2010/chartDrawing"/>
    <ds:schemaRef ds:uri="http://schemas.microsoft.com/ink/2010/main"/>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wordprocessingDrawing"/>
    <ds:schemaRef ds:uri="http://schemas.openxmlformats.org/officeDocument/2006/math"/>
    <ds:schemaRef ds:uri="http://schemas.microsoft.com/office/drawing/2010/main"/>
    <ds:schemaRef ds:uri="http://schemas.openxmlformats.org/drawingml/2006/main"/>
    <ds:schemaRef ds:uri="http://schemas.microsoft.com/office/word/2010/wordml"/>
    <ds:schemaRef ds:uri="http://schemas.microsoft.com/office/word/2012/wordml"/>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2973</Words>
  <Characters>16952</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2</cp:revision>
  <dcterms:created xsi:type="dcterms:W3CDTF">2025-11-05T14:04:00Z</dcterms:created>
  <dcterms:modified xsi:type="dcterms:W3CDTF">2025-11-05T14:04:00Z</dcterms:modified>
  <dc:language>en-GB</dc:language>
</cp:coreProperties>
</file>